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EB59" w14:textId="6A29C5F7" w:rsidR="00350ED5" w:rsidRDefault="005958C8" w:rsidP="00E37DAF">
      <w:pPr>
        <w:spacing w:after="24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37DAF">
        <w:rPr>
          <w:rFonts w:asciiTheme="majorHAnsi" w:hAnsiTheme="majorHAnsi"/>
          <w:b/>
          <w:sz w:val="28"/>
          <w:szCs w:val="28"/>
          <w:u w:val="single"/>
        </w:rPr>
        <w:t xml:space="preserve">Ayman Ayyash, BSc </w:t>
      </w:r>
      <w:r w:rsidR="00350ED5" w:rsidRPr="00E37DAF">
        <w:rPr>
          <w:rFonts w:asciiTheme="majorHAnsi" w:hAnsiTheme="majorHAnsi"/>
          <w:b/>
          <w:sz w:val="28"/>
          <w:szCs w:val="28"/>
          <w:u w:val="single"/>
        </w:rPr>
        <w:t>(</w:t>
      </w:r>
      <w:r w:rsidRPr="00E37DAF">
        <w:rPr>
          <w:rFonts w:asciiTheme="majorHAnsi" w:hAnsiTheme="majorHAnsi"/>
          <w:b/>
          <w:sz w:val="28"/>
          <w:szCs w:val="28"/>
          <w:u w:val="single"/>
        </w:rPr>
        <w:t>Civil Engineering</w:t>
      </w:r>
      <w:r w:rsidR="00350ED5" w:rsidRPr="00E37DAF">
        <w:rPr>
          <w:rFonts w:asciiTheme="majorHAnsi" w:hAnsiTheme="majorHAnsi"/>
          <w:b/>
          <w:sz w:val="28"/>
          <w:szCs w:val="28"/>
          <w:u w:val="single"/>
        </w:rPr>
        <w:t>),</w:t>
      </w:r>
      <w:r w:rsidR="00411556">
        <w:rPr>
          <w:rFonts w:asciiTheme="majorHAnsi" w:hAnsiTheme="majorHAnsi"/>
          <w:b/>
          <w:sz w:val="28"/>
          <w:szCs w:val="28"/>
          <w:u w:val="single"/>
        </w:rPr>
        <w:t xml:space="preserve"> MBA</w:t>
      </w:r>
      <w:r w:rsidR="00C445CF">
        <w:rPr>
          <w:rFonts w:asciiTheme="majorHAnsi" w:hAnsiTheme="majorHAnsi"/>
          <w:b/>
          <w:sz w:val="28"/>
          <w:szCs w:val="28"/>
          <w:u w:val="single"/>
        </w:rPr>
        <w:t>,</w:t>
      </w:r>
      <w:r w:rsidR="00C445CF" w:rsidRPr="00E37DAF">
        <w:rPr>
          <w:rFonts w:asciiTheme="majorHAnsi" w:hAnsiTheme="majorHAnsi"/>
          <w:b/>
          <w:sz w:val="28"/>
          <w:szCs w:val="28"/>
          <w:u w:val="single"/>
        </w:rPr>
        <w:t xml:space="preserve"> MASCE</w:t>
      </w:r>
      <w:r w:rsidR="00350ED5" w:rsidRPr="00E37DAF">
        <w:rPr>
          <w:rFonts w:asciiTheme="majorHAnsi" w:hAnsiTheme="majorHAnsi"/>
          <w:b/>
          <w:sz w:val="28"/>
          <w:szCs w:val="28"/>
          <w:u w:val="single"/>
        </w:rPr>
        <w:t>, AIE.</w:t>
      </w:r>
    </w:p>
    <w:p w14:paraId="281FB7CD" w14:textId="28B6667C" w:rsidR="00BC630D" w:rsidRDefault="00BC630D" w:rsidP="00E37DAF">
      <w:pPr>
        <w:spacing w:after="24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7FBE5569" w14:textId="182D5BB1" w:rsidR="005958C8" w:rsidRDefault="005958C8" w:rsidP="00406B83">
      <w:pPr>
        <w:spacing w:after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Ayman Ayyash </w:t>
      </w:r>
      <w:r w:rsidR="00CC434D">
        <w:rPr>
          <w:rFonts w:asciiTheme="majorHAnsi" w:hAnsiTheme="majorHAnsi"/>
          <w:sz w:val="22"/>
          <w:szCs w:val="22"/>
        </w:rPr>
        <w:t xml:space="preserve">is dual National, Australian and Jordanian, </w:t>
      </w:r>
      <w:r w:rsidR="00765144">
        <w:rPr>
          <w:rFonts w:asciiTheme="majorHAnsi" w:hAnsiTheme="majorHAnsi"/>
          <w:sz w:val="22"/>
          <w:szCs w:val="22"/>
        </w:rPr>
        <w:t>graduated</w:t>
      </w:r>
      <w:r>
        <w:rPr>
          <w:rFonts w:asciiTheme="majorHAnsi" w:hAnsiTheme="majorHAnsi"/>
          <w:sz w:val="22"/>
          <w:szCs w:val="22"/>
        </w:rPr>
        <w:t xml:space="preserve"> in 1984 from the University </w:t>
      </w:r>
      <w:r w:rsidR="00702688">
        <w:rPr>
          <w:rFonts w:asciiTheme="majorHAnsi" w:hAnsiTheme="majorHAnsi"/>
          <w:sz w:val="22"/>
          <w:szCs w:val="22"/>
        </w:rPr>
        <w:t>of</w:t>
      </w:r>
      <w:r>
        <w:rPr>
          <w:rFonts w:asciiTheme="majorHAnsi" w:hAnsiTheme="majorHAnsi"/>
          <w:sz w:val="22"/>
          <w:szCs w:val="22"/>
        </w:rPr>
        <w:t xml:space="preserve"> South Dakota State University, Brookings</w:t>
      </w:r>
      <w:r w:rsidR="000C6FDD">
        <w:rPr>
          <w:rFonts w:asciiTheme="majorHAnsi" w:hAnsiTheme="majorHAnsi"/>
          <w:sz w:val="22"/>
          <w:szCs w:val="22"/>
        </w:rPr>
        <w:t>, USA</w:t>
      </w:r>
      <w:r>
        <w:rPr>
          <w:rFonts w:asciiTheme="majorHAnsi" w:hAnsiTheme="majorHAnsi"/>
          <w:sz w:val="22"/>
          <w:szCs w:val="22"/>
        </w:rPr>
        <w:t xml:space="preserve"> with</w:t>
      </w:r>
      <w:r w:rsidR="00350ED5">
        <w:rPr>
          <w:rFonts w:asciiTheme="majorHAnsi" w:hAnsiTheme="majorHAnsi"/>
          <w:sz w:val="22"/>
          <w:szCs w:val="22"/>
        </w:rPr>
        <w:t xml:space="preserve"> a</w:t>
      </w:r>
      <w:r>
        <w:rPr>
          <w:rFonts w:asciiTheme="majorHAnsi" w:hAnsiTheme="majorHAnsi"/>
          <w:sz w:val="22"/>
          <w:szCs w:val="22"/>
        </w:rPr>
        <w:t xml:space="preserve"> BSc degree in Civil Engineering, </w:t>
      </w:r>
      <w:r w:rsidR="00702688">
        <w:rPr>
          <w:rFonts w:asciiTheme="majorHAnsi" w:hAnsiTheme="majorHAnsi"/>
          <w:sz w:val="22"/>
          <w:szCs w:val="22"/>
        </w:rPr>
        <w:t>after which</w:t>
      </w:r>
      <w:r>
        <w:rPr>
          <w:rFonts w:asciiTheme="majorHAnsi" w:hAnsiTheme="majorHAnsi"/>
          <w:sz w:val="22"/>
          <w:szCs w:val="22"/>
        </w:rPr>
        <w:t xml:space="preserve"> he was selected by the major US manufacturer </w:t>
      </w:r>
      <w:r w:rsidRPr="00970D1F">
        <w:rPr>
          <w:rFonts w:asciiTheme="majorHAnsi" w:hAnsiTheme="majorHAnsi"/>
          <w:b/>
          <w:sz w:val="22"/>
          <w:szCs w:val="22"/>
        </w:rPr>
        <w:t>DuPont</w:t>
      </w:r>
      <w:r>
        <w:rPr>
          <w:rFonts w:asciiTheme="majorHAnsi" w:hAnsiTheme="majorHAnsi"/>
          <w:sz w:val="22"/>
          <w:szCs w:val="22"/>
        </w:rPr>
        <w:t xml:space="preserve"> </w:t>
      </w:r>
      <w:r w:rsidR="00350ED5">
        <w:rPr>
          <w:rFonts w:asciiTheme="majorHAnsi" w:hAnsiTheme="majorHAnsi"/>
          <w:sz w:val="22"/>
          <w:szCs w:val="22"/>
        </w:rPr>
        <w:t>as</w:t>
      </w:r>
      <w:r>
        <w:rPr>
          <w:rFonts w:asciiTheme="majorHAnsi" w:hAnsiTheme="majorHAnsi"/>
          <w:sz w:val="22"/>
          <w:szCs w:val="22"/>
        </w:rPr>
        <w:t xml:space="preserve"> Sales Engineer based in Kuwait covering the Arab Gulf States</w:t>
      </w:r>
      <w:r w:rsidR="00CC434D">
        <w:rPr>
          <w:rFonts w:asciiTheme="majorHAnsi" w:hAnsiTheme="majorHAnsi"/>
          <w:sz w:val="22"/>
          <w:szCs w:val="22"/>
        </w:rPr>
        <w:t xml:space="preserve"> “GCC”</w:t>
      </w:r>
      <w:r>
        <w:rPr>
          <w:rFonts w:asciiTheme="majorHAnsi" w:hAnsiTheme="majorHAnsi"/>
          <w:sz w:val="22"/>
          <w:szCs w:val="22"/>
        </w:rPr>
        <w:t>.</w:t>
      </w:r>
      <w:r w:rsidR="000C6FDD" w:rsidRPr="000C6FDD">
        <w:rPr>
          <w:rFonts w:asciiTheme="majorHAnsi" w:hAnsiTheme="majorHAnsi"/>
          <w:sz w:val="22"/>
          <w:szCs w:val="22"/>
        </w:rPr>
        <w:t xml:space="preserve"> </w:t>
      </w:r>
      <w:r w:rsidR="00350ED5">
        <w:rPr>
          <w:rFonts w:asciiTheme="majorHAnsi" w:hAnsiTheme="majorHAnsi"/>
          <w:sz w:val="22"/>
          <w:szCs w:val="22"/>
        </w:rPr>
        <w:t xml:space="preserve"> He successfully established and grew the market for DuPont products to dominate </w:t>
      </w:r>
      <w:r w:rsidR="00702688">
        <w:rPr>
          <w:rFonts w:asciiTheme="majorHAnsi" w:hAnsiTheme="majorHAnsi"/>
          <w:sz w:val="22"/>
          <w:szCs w:val="22"/>
        </w:rPr>
        <w:t xml:space="preserve">sales in </w:t>
      </w:r>
      <w:r w:rsidR="00350ED5">
        <w:rPr>
          <w:rFonts w:asciiTheme="majorHAnsi" w:hAnsiTheme="majorHAnsi"/>
          <w:sz w:val="22"/>
          <w:szCs w:val="22"/>
        </w:rPr>
        <w:t>the region</w:t>
      </w:r>
      <w:r w:rsidR="00702688">
        <w:rPr>
          <w:rFonts w:asciiTheme="majorHAnsi" w:hAnsiTheme="majorHAnsi"/>
          <w:sz w:val="22"/>
          <w:szCs w:val="22"/>
        </w:rPr>
        <w:t>’s</w:t>
      </w:r>
      <w:r w:rsidR="000C6FDD">
        <w:rPr>
          <w:rFonts w:asciiTheme="majorHAnsi" w:hAnsiTheme="majorHAnsi"/>
          <w:sz w:val="22"/>
          <w:szCs w:val="22"/>
        </w:rPr>
        <w:t xml:space="preserve"> construction </w:t>
      </w:r>
      <w:r w:rsidR="00765144">
        <w:rPr>
          <w:rFonts w:asciiTheme="majorHAnsi" w:hAnsiTheme="majorHAnsi"/>
          <w:sz w:val="22"/>
          <w:szCs w:val="22"/>
        </w:rPr>
        <w:t>industry.</w:t>
      </w:r>
      <w:r w:rsidR="000C6FDD">
        <w:rPr>
          <w:rFonts w:asciiTheme="majorHAnsi" w:hAnsiTheme="majorHAnsi"/>
          <w:sz w:val="22"/>
          <w:szCs w:val="22"/>
        </w:rPr>
        <w:t xml:space="preserve"> </w:t>
      </w:r>
      <w:r w:rsidR="00350ED5">
        <w:rPr>
          <w:rFonts w:asciiTheme="majorHAnsi" w:hAnsiTheme="majorHAnsi"/>
          <w:sz w:val="22"/>
          <w:szCs w:val="22"/>
        </w:rPr>
        <w:t xml:space="preserve"> </w:t>
      </w:r>
    </w:p>
    <w:p w14:paraId="43DF9C4C" w14:textId="3C689A46" w:rsidR="00C03B1B" w:rsidRDefault="00350ED5" w:rsidP="00406B83">
      <w:pPr>
        <w:spacing w:after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His success with </w:t>
      </w:r>
      <w:r w:rsidR="00702688">
        <w:rPr>
          <w:rFonts w:asciiTheme="majorHAnsi" w:hAnsiTheme="majorHAnsi"/>
          <w:sz w:val="22"/>
          <w:szCs w:val="22"/>
        </w:rPr>
        <w:t>DuPont</w:t>
      </w:r>
      <w:r>
        <w:rPr>
          <w:rFonts w:asciiTheme="majorHAnsi" w:hAnsiTheme="majorHAnsi"/>
          <w:sz w:val="22"/>
          <w:szCs w:val="22"/>
        </w:rPr>
        <w:t xml:space="preserve"> led to his role as MENA Regional </w:t>
      </w:r>
      <w:r w:rsidR="00CC434D">
        <w:rPr>
          <w:rFonts w:asciiTheme="majorHAnsi" w:hAnsiTheme="majorHAnsi"/>
          <w:sz w:val="22"/>
          <w:szCs w:val="22"/>
        </w:rPr>
        <w:t>Director</w:t>
      </w:r>
      <w:r>
        <w:rPr>
          <w:rFonts w:asciiTheme="majorHAnsi" w:hAnsiTheme="majorHAnsi"/>
          <w:sz w:val="22"/>
          <w:szCs w:val="22"/>
        </w:rPr>
        <w:t xml:space="preserve">, </w:t>
      </w:r>
      <w:r w:rsidR="00702688">
        <w:rPr>
          <w:rFonts w:asciiTheme="majorHAnsi" w:hAnsiTheme="majorHAnsi"/>
          <w:sz w:val="22"/>
          <w:szCs w:val="22"/>
        </w:rPr>
        <w:t>based</w:t>
      </w:r>
      <w:r>
        <w:rPr>
          <w:rFonts w:asciiTheme="majorHAnsi" w:hAnsiTheme="majorHAnsi"/>
          <w:sz w:val="22"/>
          <w:szCs w:val="22"/>
        </w:rPr>
        <w:t xml:space="preserve"> in Jabal Ali, Dubai with</w:t>
      </w:r>
      <w:r w:rsidR="00C25D18">
        <w:rPr>
          <w:rFonts w:asciiTheme="majorHAnsi" w:hAnsiTheme="majorHAnsi"/>
          <w:sz w:val="22"/>
          <w:szCs w:val="22"/>
        </w:rPr>
        <w:t xml:space="preserve"> Vinidex Tube Makers</w:t>
      </w:r>
      <w:r>
        <w:rPr>
          <w:rFonts w:asciiTheme="majorHAnsi" w:hAnsiTheme="majorHAnsi"/>
          <w:sz w:val="22"/>
          <w:szCs w:val="22"/>
        </w:rPr>
        <w:t xml:space="preserve"> </w:t>
      </w:r>
      <w:r w:rsidR="00C25D18">
        <w:rPr>
          <w:rFonts w:asciiTheme="majorHAnsi" w:hAnsiTheme="majorHAnsi"/>
          <w:sz w:val="22"/>
          <w:szCs w:val="22"/>
        </w:rPr>
        <w:t xml:space="preserve">a subsidiary of </w:t>
      </w:r>
      <w:r w:rsidR="005958C8">
        <w:rPr>
          <w:rFonts w:asciiTheme="majorHAnsi" w:hAnsiTheme="majorHAnsi"/>
          <w:sz w:val="22"/>
          <w:szCs w:val="22"/>
        </w:rPr>
        <w:t xml:space="preserve">the </w:t>
      </w:r>
      <w:r>
        <w:rPr>
          <w:rFonts w:asciiTheme="majorHAnsi" w:hAnsiTheme="majorHAnsi"/>
          <w:sz w:val="22"/>
          <w:szCs w:val="22"/>
        </w:rPr>
        <w:t xml:space="preserve">global </w:t>
      </w:r>
      <w:r w:rsidR="00411556">
        <w:rPr>
          <w:rFonts w:asciiTheme="majorHAnsi" w:hAnsiTheme="majorHAnsi"/>
          <w:sz w:val="22"/>
          <w:szCs w:val="22"/>
        </w:rPr>
        <w:t>Oil and Gas giant “</w:t>
      </w:r>
      <w:r w:rsidR="005958C8">
        <w:rPr>
          <w:rFonts w:asciiTheme="majorHAnsi" w:hAnsiTheme="majorHAnsi"/>
          <w:sz w:val="22"/>
          <w:szCs w:val="22"/>
        </w:rPr>
        <w:t>BHP</w:t>
      </w:r>
      <w:r w:rsidR="00411556">
        <w:rPr>
          <w:rFonts w:asciiTheme="majorHAnsi" w:hAnsiTheme="majorHAnsi"/>
          <w:sz w:val="22"/>
          <w:szCs w:val="22"/>
        </w:rPr>
        <w:t xml:space="preserve"> Billiton”</w:t>
      </w:r>
      <w:r w:rsidR="005958C8">
        <w:rPr>
          <w:rFonts w:asciiTheme="majorHAnsi" w:hAnsiTheme="majorHAnsi"/>
          <w:sz w:val="22"/>
          <w:szCs w:val="22"/>
        </w:rPr>
        <w:t xml:space="preserve">, Piping division </w:t>
      </w:r>
      <w:r>
        <w:rPr>
          <w:rFonts w:asciiTheme="majorHAnsi" w:hAnsiTheme="majorHAnsi"/>
          <w:sz w:val="22"/>
          <w:szCs w:val="22"/>
        </w:rPr>
        <w:t>from 1991 to 1994.</w:t>
      </w:r>
      <w:r w:rsidR="00B44330">
        <w:rPr>
          <w:rFonts w:asciiTheme="majorHAnsi" w:hAnsiTheme="majorHAnsi"/>
          <w:sz w:val="22"/>
          <w:szCs w:val="22"/>
        </w:rPr>
        <w:t xml:space="preserve"> Again, in </w:t>
      </w:r>
      <w:r>
        <w:rPr>
          <w:rFonts w:asciiTheme="majorHAnsi" w:hAnsiTheme="majorHAnsi"/>
          <w:sz w:val="22"/>
          <w:szCs w:val="22"/>
        </w:rPr>
        <w:t xml:space="preserve">a </w:t>
      </w:r>
      <w:r w:rsidR="00B44330">
        <w:rPr>
          <w:rFonts w:asciiTheme="majorHAnsi" w:hAnsiTheme="majorHAnsi"/>
          <w:sz w:val="22"/>
          <w:szCs w:val="22"/>
        </w:rPr>
        <w:t xml:space="preserve">short time, </w:t>
      </w:r>
      <w:r>
        <w:rPr>
          <w:rFonts w:asciiTheme="majorHAnsi" w:hAnsiTheme="majorHAnsi"/>
          <w:sz w:val="22"/>
          <w:szCs w:val="22"/>
        </w:rPr>
        <w:t>Ayman had led the</w:t>
      </w:r>
      <w:r w:rsidR="00B44330">
        <w:rPr>
          <w:rFonts w:asciiTheme="majorHAnsi" w:hAnsiTheme="majorHAnsi"/>
          <w:sz w:val="22"/>
          <w:szCs w:val="22"/>
        </w:rPr>
        <w:t xml:space="preserve"> </w:t>
      </w:r>
      <w:r w:rsidR="00CC434D">
        <w:rPr>
          <w:rFonts w:asciiTheme="majorHAnsi" w:hAnsiTheme="majorHAnsi"/>
          <w:sz w:val="22"/>
          <w:szCs w:val="22"/>
        </w:rPr>
        <w:t xml:space="preserve">industrial </w:t>
      </w:r>
      <w:r w:rsidR="00B44330">
        <w:rPr>
          <w:rFonts w:asciiTheme="majorHAnsi" w:hAnsiTheme="majorHAnsi"/>
          <w:sz w:val="22"/>
          <w:szCs w:val="22"/>
        </w:rPr>
        <w:t xml:space="preserve">piping division, PE and PVC pipes, </w:t>
      </w:r>
      <w:r w:rsidR="00C03B1B">
        <w:rPr>
          <w:rFonts w:asciiTheme="majorHAnsi" w:hAnsiTheme="majorHAnsi"/>
          <w:sz w:val="22"/>
          <w:szCs w:val="22"/>
        </w:rPr>
        <w:t xml:space="preserve">to become a major </w:t>
      </w:r>
      <w:r w:rsidR="00B44330">
        <w:rPr>
          <w:rFonts w:asciiTheme="majorHAnsi" w:hAnsiTheme="majorHAnsi"/>
          <w:sz w:val="22"/>
          <w:szCs w:val="22"/>
        </w:rPr>
        <w:t xml:space="preserve">supplier to construction contractors in the infrastructure, </w:t>
      </w:r>
      <w:r w:rsidR="00C03B1B">
        <w:rPr>
          <w:rFonts w:asciiTheme="majorHAnsi" w:hAnsiTheme="majorHAnsi"/>
          <w:sz w:val="22"/>
          <w:szCs w:val="22"/>
        </w:rPr>
        <w:t>o</w:t>
      </w:r>
      <w:r w:rsidR="00B44330">
        <w:rPr>
          <w:rFonts w:asciiTheme="majorHAnsi" w:hAnsiTheme="majorHAnsi"/>
          <w:sz w:val="22"/>
          <w:szCs w:val="22"/>
        </w:rPr>
        <w:t>il, gas and mining industr</w:t>
      </w:r>
      <w:r w:rsidR="00C03B1B">
        <w:rPr>
          <w:rFonts w:asciiTheme="majorHAnsi" w:hAnsiTheme="majorHAnsi"/>
          <w:sz w:val="22"/>
          <w:szCs w:val="22"/>
        </w:rPr>
        <w:t>ies</w:t>
      </w:r>
      <w:r w:rsidR="00B44330">
        <w:rPr>
          <w:rFonts w:asciiTheme="majorHAnsi" w:hAnsiTheme="majorHAnsi"/>
          <w:sz w:val="22"/>
          <w:szCs w:val="22"/>
        </w:rPr>
        <w:t>.</w:t>
      </w:r>
      <w:r w:rsidR="00C03B1B">
        <w:rPr>
          <w:rFonts w:asciiTheme="majorHAnsi" w:hAnsiTheme="majorHAnsi"/>
          <w:sz w:val="22"/>
          <w:szCs w:val="22"/>
        </w:rPr>
        <w:t xml:space="preserve"> </w:t>
      </w:r>
    </w:p>
    <w:p w14:paraId="5221E227" w14:textId="6337D13C" w:rsidR="00AE7110" w:rsidRDefault="00350ED5" w:rsidP="00406B83">
      <w:pPr>
        <w:spacing w:after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Ayman supplemented his engineering and marketing skills with various management courses in both London and Melbourne, </w:t>
      </w:r>
      <w:r w:rsidR="00FD372F">
        <w:rPr>
          <w:rFonts w:asciiTheme="majorHAnsi" w:hAnsiTheme="majorHAnsi"/>
          <w:sz w:val="22"/>
          <w:szCs w:val="22"/>
        </w:rPr>
        <w:t xml:space="preserve">and an MBA from </w:t>
      </w:r>
      <w:r>
        <w:rPr>
          <w:rFonts w:asciiTheme="majorHAnsi" w:hAnsiTheme="majorHAnsi"/>
          <w:sz w:val="22"/>
          <w:szCs w:val="22"/>
        </w:rPr>
        <w:t>R</w:t>
      </w:r>
      <w:r w:rsidR="00FD372F">
        <w:rPr>
          <w:rFonts w:asciiTheme="majorHAnsi" w:hAnsiTheme="majorHAnsi"/>
          <w:sz w:val="22"/>
          <w:szCs w:val="22"/>
        </w:rPr>
        <w:t xml:space="preserve">oyal </w:t>
      </w:r>
      <w:r>
        <w:rPr>
          <w:rFonts w:asciiTheme="majorHAnsi" w:hAnsiTheme="majorHAnsi"/>
          <w:sz w:val="22"/>
          <w:szCs w:val="22"/>
        </w:rPr>
        <w:t>M</w:t>
      </w:r>
      <w:r w:rsidR="00FD372F">
        <w:rPr>
          <w:rFonts w:asciiTheme="majorHAnsi" w:hAnsiTheme="majorHAnsi"/>
          <w:sz w:val="22"/>
          <w:szCs w:val="22"/>
        </w:rPr>
        <w:t>elbourne Institute of Technology</w:t>
      </w:r>
      <w:r w:rsidR="00B01F6E">
        <w:rPr>
          <w:rFonts w:asciiTheme="majorHAnsi" w:hAnsiTheme="majorHAnsi"/>
          <w:sz w:val="22"/>
          <w:szCs w:val="22"/>
        </w:rPr>
        <w:t xml:space="preserve"> “ RMIT”</w:t>
      </w:r>
      <w:r w:rsidR="00FD372F">
        <w:rPr>
          <w:rFonts w:asciiTheme="majorHAnsi" w:hAnsiTheme="majorHAnsi"/>
          <w:sz w:val="22"/>
          <w:szCs w:val="22"/>
        </w:rPr>
        <w:t xml:space="preserve"> from</w:t>
      </w:r>
      <w:r w:rsidR="00C03B1B">
        <w:rPr>
          <w:rFonts w:asciiTheme="majorHAnsi" w:hAnsiTheme="majorHAnsi"/>
          <w:sz w:val="22"/>
          <w:szCs w:val="22"/>
        </w:rPr>
        <w:t xml:space="preserve"> 1994 after which he joined </w:t>
      </w:r>
      <w:r w:rsidR="00804346">
        <w:rPr>
          <w:rFonts w:asciiTheme="majorHAnsi" w:hAnsiTheme="majorHAnsi"/>
          <w:sz w:val="22"/>
          <w:szCs w:val="22"/>
        </w:rPr>
        <w:t xml:space="preserve">the Australian Trade Commission, “Austrade” </w:t>
      </w:r>
      <w:r w:rsidR="00B01F6E">
        <w:rPr>
          <w:rFonts w:asciiTheme="majorHAnsi" w:hAnsiTheme="majorHAnsi"/>
          <w:sz w:val="22"/>
          <w:szCs w:val="22"/>
        </w:rPr>
        <w:t xml:space="preserve">and Department of Foreign Affairs </w:t>
      </w:r>
      <w:r w:rsidR="00804346">
        <w:rPr>
          <w:rFonts w:asciiTheme="majorHAnsi" w:hAnsiTheme="majorHAnsi"/>
          <w:sz w:val="22"/>
          <w:szCs w:val="22"/>
        </w:rPr>
        <w:t xml:space="preserve">as MENA </w:t>
      </w:r>
      <w:r w:rsidR="00FD372F">
        <w:rPr>
          <w:rFonts w:asciiTheme="majorHAnsi" w:hAnsiTheme="majorHAnsi"/>
          <w:sz w:val="22"/>
          <w:szCs w:val="22"/>
        </w:rPr>
        <w:t>Commercial Attaché</w:t>
      </w:r>
      <w:r w:rsidR="002F2E58">
        <w:rPr>
          <w:rFonts w:asciiTheme="majorHAnsi" w:hAnsiTheme="majorHAnsi"/>
          <w:sz w:val="22"/>
          <w:szCs w:val="22"/>
        </w:rPr>
        <w:t xml:space="preserve"> covering Jordan, Iraq, Syria, Lebanon and the Palestinian</w:t>
      </w:r>
      <w:r w:rsidR="00E50F5B">
        <w:rPr>
          <w:rFonts w:asciiTheme="majorHAnsi" w:hAnsiTheme="majorHAnsi"/>
          <w:sz w:val="22"/>
          <w:szCs w:val="22"/>
        </w:rPr>
        <w:t xml:space="preserve"> Areas </w:t>
      </w:r>
      <w:r w:rsidR="00C03B1B">
        <w:rPr>
          <w:rFonts w:asciiTheme="majorHAnsi" w:hAnsiTheme="majorHAnsi"/>
          <w:sz w:val="22"/>
          <w:szCs w:val="22"/>
        </w:rPr>
        <w:t xml:space="preserve">before being </w:t>
      </w:r>
      <w:r w:rsidR="00702688">
        <w:rPr>
          <w:rFonts w:asciiTheme="majorHAnsi" w:hAnsiTheme="majorHAnsi"/>
          <w:sz w:val="22"/>
          <w:szCs w:val="22"/>
        </w:rPr>
        <w:t>quickly promoted</w:t>
      </w:r>
      <w:r w:rsidR="002F2E58">
        <w:rPr>
          <w:rFonts w:asciiTheme="majorHAnsi" w:hAnsiTheme="majorHAnsi"/>
          <w:sz w:val="22"/>
          <w:szCs w:val="22"/>
        </w:rPr>
        <w:t xml:space="preserve"> </w:t>
      </w:r>
      <w:r w:rsidR="00E50F5B">
        <w:rPr>
          <w:rFonts w:asciiTheme="majorHAnsi" w:hAnsiTheme="majorHAnsi"/>
          <w:sz w:val="22"/>
          <w:szCs w:val="22"/>
        </w:rPr>
        <w:t xml:space="preserve">to </w:t>
      </w:r>
      <w:r w:rsidR="002F2E58">
        <w:rPr>
          <w:rFonts w:asciiTheme="majorHAnsi" w:hAnsiTheme="majorHAnsi"/>
          <w:sz w:val="22"/>
          <w:szCs w:val="22"/>
        </w:rPr>
        <w:t xml:space="preserve">MENA </w:t>
      </w:r>
      <w:r w:rsidR="00E50F5B">
        <w:rPr>
          <w:rFonts w:asciiTheme="majorHAnsi" w:hAnsiTheme="majorHAnsi"/>
          <w:sz w:val="22"/>
          <w:szCs w:val="22"/>
        </w:rPr>
        <w:t xml:space="preserve">Regional </w:t>
      </w:r>
      <w:r w:rsidR="00970D1F">
        <w:rPr>
          <w:rFonts w:asciiTheme="majorHAnsi" w:hAnsiTheme="majorHAnsi"/>
          <w:sz w:val="22"/>
          <w:szCs w:val="22"/>
        </w:rPr>
        <w:t>Attaché</w:t>
      </w:r>
      <w:r w:rsidR="0004036C">
        <w:rPr>
          <w:rFonts w:asciiTheme="majorHAnsi" w:hAnsiTheme="majorHAnsi"/>
          <w:sz w:val="22"/>
          <w:szCs w:val="22"/>
        </w:rPr>
        <w:t>’</w:t>
      </w:r>
      <w:r w:rsidR="002F2E58">
        <w:rPr>
          <w:rFonts w:asciiTheme="majorHAnsi" w:hAnsiTheme="majorHAnsi"/>
          <w:sz w:val="22"/>
          <w:szCs w:val="22"/>
        </w:rPr>
        <w:t xml:space="preserve"> covering Kuwait, Saudi Arabia, Qatar, Bahrain, UAE and Oman then </w:t>
      </w:r>
      <w:r w:rsidR="00E50F5B">
        <w:rPr>
          <w:rFonts w:asciiTheme="majorHAnsi" w:hAnsiTheme="majorHAnsi"/>
          <w:sz w:val="22"/>
          <w:szCs w:val="22"/>
        </w:rPr>
        <w:t>promoted</w:t>
      </w:r>
      <w:r w:rsidR="002F2E58">
        <w:rPr>
          <w:rFonts w:asciiTheme="majorHAnsi" w:hAnsiTheme="majorHAnsi"/>
          <w:sz w:val="22"/>
          <w:szCs w:val="22"/>
        </w:rPr>
        <w:t xml:space="preserve"> </w:t>
      </w:r>
      <w:r w:rsidR="00804346">
        <w:rPr>
          <w:rFonts w:asciiTheme="majorHAnsi" w:hAnsiTheme="majorHAnsi"/>
          <w:sz w:val="22"/>
          <w:szCs w:val="22"/>
        </w:rPr>
        <w:t>to “</w:t>
      </w:r>
      <w:r w:rsidR="0004036C">
        <w:rPr>
          <w:rFonts w:asciiTheme="majorHAnsi" w:hAnsiTheme="majorHAnsi"/>
          <w:sz w:val="22"/>
          <w:szCs w:val="22"/>
        </w:rPr>
        <w:t>Minister Commercial</w:t>
      </w:r>
      <w:r w:rsidR="00804346">
        <w:rPr>
          <w:rFonts w:asciiTheme="majorHAnsi" w:hAnsiTheme="majorHAnsi"/>
          <w:sz w:val="22"/>
          <w:szCs w:val="22"/>
        </w:rPr>
        <w:t xml:space="preserve">” </w:t>
      </w:r>
      <w:r w:rsidR="00AE7110">
        <w:rPr>
          <w:rFonts w:asciiTheme="majorHAnsi" w:hAnsiTheme="majorHAnsi"/>
          <w:sz w:val="22"/>
          <w:szCs w:val="22"/>
        </w:rPr>
        <w:t xml:space="preserve">with diplomatic status </w:t>
      </w:r>
      <w:r w:rsidR="00804346">
        <w:rPr>
          <w:rFonts w:asciiTheme="majorHAnsi" w:hAnsiTheme="majorHAnsi"/>
          <w:sz w:val="22"/>
          <w:szCs w:val="22"/>
        </w:rPr>
        <w:t>for Egypt, Libya and Sudan.</w:t>
      </w:r>
      <w:r w:rsidR="00A24D7D">
        <w:rPr>
          <w:rFonts w:asciiTheme="majorHAnsi" w:hAnsiTheme="majorHAnsi"/>
          <w:sz w:val="22"/>
          <w:szCs w:val="22"/>
        </w:rPr>
        <w:t xml:space="preserve"> </w:t>
      </w:r>
      <w:r w:rsidR="00C03B1B">
        <w:rPr>
          <w:rFonts w:asciiTheme="majorHAnsi" w:hAnsiTheme="majorHAnsi"/>
          <w:sz w:val="22"/>
          <w:szCs w:val="22"/>
        </w:rPr>
        <w:t>Over the ten years with Austrade</w:t>
      </w:r>
      <w:r w:rsidR="00B01F6E">
        <w:rPr>
          <w:rFonts w:asciiTheme="majorHAnsi" w:hAnsiTheme="majorHAnsi"/>
          <w:sz w:val="22"/>
          <w:szCs w:val="22"/>
        </w:rPr>
        <w:t xml:space="preserve"> and the Australian Department of Foreign Affairs, Ayman</w:t>
      </w:r>
      <w:r w:rsidR="00C03B1B">
        <w:rPr>
          <w:rFonts w:asciiTheme="majorHAnsi" w:hAnsiTheme="majorHAnsi"/>
          <w:sz w:val="22"/>
          <w:szCs w:val="22"/>
        </w:rPr>
        <w:t xml:space="preserve"> successfully worked with </w:t>
      </w:r>
      <w:r w:rsidR="00A24D7D">
        <w:rPr>
          <w:rFonts w:asciiTheme="majorHAnsi" w:hAnsiTheme="majorHAnsi"/>
          <w:sz w:val="22"/>
          <w:szCs w:val="22"/>
        </w:rPr>
        <w:t xml:space="preserve">many Australian supplier/ service </w:t>
      </w:r>
      <w:r w:rsidR="00C03B1B">
        <w:rPr>
          <w:rFonts w:asciiTheme="majorHAnsi" w:hAnsiTheme="majorHAnsi"/>
          <w:sz w:val="22"/>
          <w:szCs w:val="22"/>
        </w:rPr>
        <w:t>companies</w:t>
      </w:r>
      <w:r w:rsidR="00A24D7D">
        <w:rPr>
          <w:rFonts w:asciiTheme="majorHAnsi" w:hAnsiTheme="majorHAnsi"/>
          <w:sz w:val="22"/>
          <w:szCs w:val="22"/>
        </w:rPr>
        <w:t xml:space="preserve"> to </w:t>
      </w:r>
      <w:r w:rsidR="00765144">
        <w:rPr>
          <w:rFonts w:asciiTheme="majorHAnsi" w:hAnsiTheme="majorHAnsi"/>
          <w:sz w:val="22"/>
          <w:szCs w:val="22"/>
        </w:rPr>
        <w:t>enter</w:t>
      </w:r>
      <w:r w:rsidR="00A24D7D">
        <w:rPr>
          <w:rFonts w:asciiTheme="majorHAnsi" w:hAnsiTheme="majorHAnsi"/>
          <w:sz w:val="22"/>
          <w:szCs w:val="22"/>
        </w:rPr>
        <w:t xml:space="preserve"> the MENA markets.</w:t>
      </w:r>
      <w:r w:rsidR="00E50F5B">
        <w:rPr>
          <w:rFonts w:asciiTheme="majorHAnsi" w:hAnsiTheme="majorHAnsi"/>
          <w:sz w:val="22"/>
          <w:szCs w:val="22"/>
        </w:rPr>
        <w:t xml:space="preserve"> </w:t>
      </w:r>
      <w:r w:rsidR="00B01F6E">
        <w:rPr>
          <w:rFonts w:asciiTheme="majorHAnsi" w:hAnsiTheme="majorHAnsi"/>
          <w:sz w:val="22"/>
          <w:szCs w:val="22"/>
        </w:rPr>
        <w:t>That includes</w:t>
      </w:r>
      <w:r w:rsidR="00E50F5B">
        <w:rPr>
          <w:rFonts w:asciiTheme="majorHAnsi" w:hAnsiTheme="majorHAnsi"/>
          <w:sz w:val="22"/>
          <w:szCs w:val="22"/>
        </w:rPr>
        <w:t xml:space="preserve"> </w:t>
      </w:r>
      <w:r w:rsidR="00F94603">
        <w:rPr>
          <w:rFonts w:asciiTheme="majorHAnsi" w:hAnsiTheme="majorHAnsi"/>
          <w:sz w:val="22"/>
          <w:szCs w:val="22"/>
        </w:rPr>
        <w:t>Mining, Oil and Gas, Education</w:t>
      </w:r>
      <w:r w:rsidR="0036716A">
        <w:rPr>
          <w:rFonts w:asciiTheme="majorHAnsi" w:hAnsiTheme="majorHAnsi"/>
          <w:sz w:val="22"/>
          <w:szCs w:val="22"/>
        </w:rPr>
        <w:t>, Health</w:t>
      </w:r>
      <w:r w:rsidR="00F94603">
        <w:rPr>
          <w:rFonts w:asciiTheme="majorHAnsi" w:hAnsiTheme="majorHAnsi"/>
          <w:sz w:val="22"/>
          <w:szCs w:val="22"/>
        </w:rPr>
        <w:t xml:space="preserve"> and </w:t>
      </w:r>
      <w:r w:rsidR="00E50F5B">
        <w:rPr>
          <w:rFonts w:asciiTheme="majorHAnsi" w:hAnsiTheme="majorHAnsi"/>
          <w:sz w:val="22"/>
          <w:szCs w:val="22"/>
        </w:rPr>
        <w:t>Food products</w:t>
      </w:r>
      <w:r w:rsidR="00F94603">
        <w:rPr>
          <w:rFonts w:asciiTheme="majorHAnsi" w:hAnsiTheme="majorHAnsi"/>
          <w:sz w:val="22"/>
          <w:szCs w:val="22"/>
        </w:rPr>
        <w:t>.</w:t>
      </w:r>
    </w:p>
    <w:p w14:paraId="58531C65" w14:textId="77777777" w:rsidR="0053211A" w:rsidRPr="00737B0B" w:rsidRDefault="0053211A" w:rsidP="00406B83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737B0B">
        <w:rPr>
          <w:rFonts w:asciiTheme="majorHAnsi" w:hAnsiTheme="majorHAnsi"/>
          <w:sz w:val="22"/>
          <w:szCs w:val="22"/>
        </w:rPr>
        <w:t xml:space="preserve">Key </w:t>
      </w:r>
      <w:r w:rsidR="00737B0B" w:rsidRPr="00737B0B">
        <w:rPr>
          <w:rFonts w:asciiTheme="majorHAnsi" w:hAnsiTheme="majorHAnsi"/>
          <w:sz w:val="22"/>
          <w:szCs w:val="22"/>
        </w:rPr>
        <w:t>achievements</w:t>
      </w:r>
      <w:r w:rsidRPr="00737B0B">
        <w:rPr>
          <w:rFonts w:asciiTheme="majorHAnsi" w:hAnsiTheme="majorHAnsi"/>
          <w:sz w:val="22"/>
          <w:szCs w:val="22"/>
        </w:rPr>
        <w:t xml:space="preserve"> include:</w:t>
      </w:r>
    </w:p>
    <w:p w14:paraId="07752B3B" w14:textId="27D40A28" w:rsidR="00AE7110" w:rsidRDefault="00C03B1B" w:rsidP="00406B83">
      <w:pPr>
        <w:pStyle w:val="ListParagraph"/>
        <w:numPr>
          <w:ilvl w:val="0"/>
          <w:numId w:val="1"/>
        </w:numPr>
        <w:spacing w:after="120"/>
        <w:ind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Established the </w:t>
      </w:r>
      <w:r w:rsidR="00AE7110">
        <w:rPr>
          <w:rFonts w:asciiTheme="majorHAnsi" w:hAnsiTheme="majorHAnsi"/>
          <w:sz w:val="22"/>
          <w:szCs w:val="22"/>
        </w:rPr>
        <w:t xml:space="preserve">DuPont “Corian” product </w:t>
      </w:r>
      <w:r>
        <w:rPr>
          <w:rFonts w:asciiTheme="majorHAnsi" w:hAnsiTheme="majorHAnsi"/>
          <w:sz w:val="22"/>
          <w:szCs w:val="22"/>
        </w:rPr>
        <w:t xml:space="preserve">to the MENA </w:t>
      </w:r>
      <w:r w:rsidR="00702688">
        <w:rPr>
          <w:rFonts w:asciiTheme="majorHAnsi" w:hAnsiTheme="majorHAnsi"/>
          <w:sz w:val="22"/>
          <w:szCs w:val="22"/>
        </w:rPr>
        <w:t>region</w:t>
      </w:r>
      <w:r>
        <w:rPr>
          <w:rFonts w:asciiTheme="majorHAnsi" w:hAnsiTheme="majorHAnsi"/>
          <w:sz w:val="22"/>
          <w:szCs w:val="22"/>
        </w:rPr>
        <w:t xml:space="preserve"> where it is now </w:t>
      </w:r>
      <w:r w:rsidR="00AE7110">
        <w:rPr>
          <w:rFonts w:asciiTheme="majorHAnsi" w:hAnsiTheme="majorHAnsi"/>
          <w:sz w:val="22"/>
          <w:szCs w:val="22"/>
        </w:rPr>
        <w:t xml:space="preserve">ranked No 1 </w:t>
      </w:r>
      <w:r>
        <w:rPr>
          <w:rFonts w:asciiTheme="majorHAnsi" w:hAnsiTheme="majorHAnsi"/>
          <w:sz w:val="22"/>
          <w:szCs w:val="22"/>
        </w:rPr>
        <w:t xml:space="preserve">with a market share </w:t>
      </w:r>
      <w:r w:rsidR="00F94603">
        <w:rPr>
          <w:rFonts w:asciiTheme="majorHAnsi" w:hAnsiTheme="majorHAnsi"/>
          <w:sz w:val="22"/>
          <w:szCs w:val="22"/>
        </w:rPr>
        <w:t>over 27</w:t>
      </w:r>
      <w:r w:rsidR="00765144">
        <w:rPr>
          <w:rFonts w:asciiTheme="majorHAnsi" w:hAnsiTheme="majorHAnsi"/>
          <w:sz w:val="22"/>
          <w:szCs w:val="22"/>
        </w:rPr>
        <w:t>%.</w:t>
      </w:r>
    </w:p>
    <w:p w14:paraId="3508366C" w14:textId="0C966698" w:rsidR="00A90C2F" w:rsidRDefault="00C03B1B" w:rsidP="00406B83">
      <w:pPr>
        <w:pStyle w:val="ListParagraph"/>
        <w:numPr>
          <w:ilvl w:val="0"/>
          <w:numId w:val="1"/>
        </w:numPr>
        <w:spacing w:after="120"/>
        <w:ind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Grew the </w:t>
      </w:r>
      <w:r w:rsidR="00E7428D">
        <w:rPr>
          <w:rFonts w:asciiTheme="majorHAnsi" w:hAnsiTheme="majorHAnsi"/>
          <w:sz w:val="22"/>
          <w:szCs w:val="22"/>
        </w:rPr>
        <w:t xml:space="preserve">Vinidex Tube Makers, </w:t>
      </w:r>
      <w:r w:rsidR="00AE7110">
        <w:rPr>
          <w:rFonts w:asciiTheme="majorHAnsi" w:hAnsiTheme="majorHAnsi"/>
          <w:sz w:val="22"/>
          <w:szCs w:val="22"/>
        </w:rPr>
        <w:t>BHP PE and PVC pipe</w:t>
      </w:r>
      <w:r>
        <w:rPr>
          <w:rFonts w:asciiTheme="majorHAnsi" w:hAnsiTheme="majorHAnsi"/>
          <w:sz w:val="22"/>
          <w:szCs w:val="22"/>
        </w:rPr>
        <w:t xml:space="preserve"> business</w:t>
      </w:r>
      <w:r w:rsidR="00AE7110">
        <w:rPr>
          <w:rFonts w:asciiTheme="majorHAnsi" w:hAnsiTheme="majorHAnsi"/>
          <w:sz w:val="22"/>
          <w:szCs w:val="22"/>
        </w:rPr>
        <w:t xml:space="preserve"> selling to mega oil and gas</w:t>
      </w:r>
      <w:r w:rsidR="00F94603">
        <w:rPr>
          <w:rFonts w:asciiTheme="majorHAnsi" w:hAnsiTheme="majorHAnsi"/>
          <w:sz w:val="22"/>
          <w:szCs w:val="22"/>
        </w:rPr>
        <w:t xml:space="preserve">, </w:t>
      </w:r>
      <w:r w:rsidR="00765144">
        <w:rPr>
          <w:rFonts w:asciiTheme="majorHAnsi" w:hAnsiTheme="majorHAnsi"/>
          <w:sz w:val="22"/>
          <w:szCs w:val="22"/>
        </w:rPr>
        <w:t>mining,</w:t>
      </w:r>
      <w:r w:rsidR="00F94603">
        <w:rPr>
          <w:rFonts w:asciiTheme="majorHAnsi" w:hAnsiTheme="majorHAnsi"/>
          <w:sz w:val="22"/>
          <w:szCs w:val="22"/>
        </w:rPr>
        <w:t xml:space="preserve"> and</w:t>
      </w:r>
      <w:r w:rsidR="00AE7110">
        <w:rPr>
          <w:rFonts w:asciiTheme="majorHAnsi" w:hAnsiTheme="majorHAnsi"/>
          <w:sz w:val="22"/>
          <w:szCs w:val="22"/>
        </w:rPr>
        <w:t xml:space="preserve"> construction companies </w:t>
      </w:r>
      <w:r>
        <w:rPr>
          <w:rFonts w:asciiTheme="majorHAnsi" w:hAnsiTheme="majorHAnsi"/>
          <w:sz w:val="22"/>
          <w:szCs w:val="22"/>
        </w:rPr>
        <w:t>to become a dominant and sought after supplier</w:t>
      </w:r>
      <w:r w:rsidR="00A24D7D">
        <w:rPr>
          <w:rFonts w:asciiTheme="majorHAnsi" w:hAnsiTheme="majorHAnsi"/>
          <w:sz w:val="22"/>
          <w:szCs w:val="22"/>
        </w:rPr>
        <w:t xml:space="preserve">. </w:t>
      </w:r>
    </w:p>
    <w:p w14:paraId="171CABB9" w14:textId="4CF6B7B3" w:rsidR="00AE7110" w:rsidRDefault="00AE7110" w:rsidP="00406B83">
      <w:pPr>
        <w:pStyle w:val="ListParagraph"/>
        <w:numPr>
          <w:ilvl w:val="0"/>
          <w:numId w:val="1"/>
        </w:numPr>
        <w:spacing w:after="120"/>
        <w:ind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Establishment of Box Hill TAFE College in Kuwait</w:t>
      </w:r>
      <w:r w:rsidR="00525787">
        <w:rPr>
          <w:rFonts w:asciiTheme="majorHAnsi" w:hAnsiTheme="majorHAnsi"/>
          <w:sz w:val="22"/>
          <w:szCs w:val="22"/>
        </w:rPr>
        <w:t xml:space="preserve"> and Wollongong Uni</w:t>
      </w:r>
      <w:r w:rsidR="00C03B1B">
        <w:rPr>
          <w:rFonts w:asciiTheme="majorHAnsi" w:hAnsiTheme="majorHAnsi"/>
          <w:sz w:val="22"/>
          <w:szCs w:val="22"/>
        </w:rPr>
        <w:t>versity</w:t>
      </w:r>
      <w:r w:rsidR="00525787">
        <w:rPr>
          <w:rFonts w:asciiTheme="majorHAnsi" w:hAnsiTheme="majorHAnsi"/>
          <w:sz w:val="22"/>
          <w:szCs w:val="22"/>
        </w:rPr>
        <w:t xml:space="preserve"> </w:t>
      </w:r>
      <w:r w:rsidR="00702688">
        <w:rPr>
          <w:rFonts w:asciiTheme="majorHAnsi" w:hAnsiTheme="majorHAnsi"/>
          <w:sz w:val="22"/>
          <w:szCs w:val="22"/>
        </w:rPr>
        <w:t>in</w:t>
      </w:r>
      <w:r w:rsidR="00525787">
        <w:rPr>
          <w:rFonts w:asciiTheme="majorHAnsi" w:hAnsiTheme="majorHAnsi"/>
          <w:sz w:val="22"/>
          <w:szCs w:val="22"/>
        </w:rPr>
        <w:t xml:space="preserve"> Dubai</w:t>
      </w:r>
      <w:r w:rsidR="00C03B1B">
        <w:rPr>
          <w:rFonts w:asciiTheme="majorHAnsi" w:hAnsiTheme="majorHAnsi"/>
          <w:sz w:val="22"/>
          <w:szCs w:val="22"/>
        </w:rPr>
        <w:t>; a venture to grow Australian education services into the region</w:t>
      </w:r>
      <w:r w:rsidR="00A24D7D">
        <w:rPr>
          <w:rFonts w:asciiTheme="majorHAnsi" w:hAnsiTheme="majorHAnsi"/>
          <w:sz w:val="22"/>
          <w:szCs w:val="22"/>
        </w:rPr>
        <w:t>.</w:t>
      </w:r>
    </w:p>
    <w:p w14:paraId="5DE76703" w14:textId="0E5221EE" w:rsidR="00525787" w:rsidRDefault="00702688" w:rsidP="00406B83">
      <w:pPr>
        <w:pStyle w:val="ListParagraph"/>
        <w:numPr>
          <w:ilvl w:val="0"/>
          <w:numId w:val="1"/>
        </w:numPr>
        <w:spacing w:after="120"/>
        <w:ind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Facilitated</w:t>
      </w:r>
      <w:r w:rsidR="00C03B1B">
        <w:rPr>
          <w:rFonts w:asciiTheme="majorHAnsi" w:hAnsiTheme="majorHAnsi"/>
          <w:sz w:val="22"/>
          <w:szCs w:val="22"/>
        </w:rPr>
        <w:t xml:space="preserve"> Australia’s being</w:t>
      </w:r>
      <w:r w:rsidR="00525787">
        <w:rPr>
          <w:rFonts w:asciiTheme="majorHAnsi" w:hAnsiTheme="majorHAnsi"/>
          <w:sz w:val="22"/>
          <w:szCs w:val="22"/>
        </w:rPr>
        <w:t xml:space="preserve"> the major supplier of food items</w:t>
      </w:r>
      <w:r w:rsidR="008D68BF">
        <w:rPr>
          <w:rFonts w:asciiTheme="majorHAnsi" w:hAnsiTheme="majorHAnsi"/>
          <w:sz w:val="22"/>
          <w:szCs w:val="22"/>
        </w:rPr>
        <w:t>, oil and gas and power equipment’s</w:t>
      </w:r>
      <w:r w:rsidR="00525787">
        <w:rPr>
          <w:rFonts w:asciiTheme="majorHAnsi" w:hAnsiTheme="majorHAnsi"/>
          <w:sz w:val="22"/>
          <w:szCs w:val="22"/>
        </w:rPr>
        <w:t xml:space="preserve"> to </w:t>
      </w:r>
      <w:r w:rsidR="00525787" w:rsidRPr="00406B83">
        <w:rPr>
          <w:rFonts w:asciiTheme="majorHAnsi" w:hAnsiTheme="majorHAnsi"/>
          <w:b/>
          <w:sz w:val="22"/>
          <w:szCs w:val="22"/>
          <w:u w:val="single"/>
        </w:rPr>
        <w:t>I</w:t>
      </w:r>
      <w:r w:rsidR="00222969" w:rsidRPr="00406B83">
        <w:rPr>
          <w:rFonts w:asciiTheme="majorHAnsi" w:hAnsiTheme="majorHAnsi"/>
          <w:b/>
          <w:sz w:val="22"/>
          <w:szCs w:val="22"/>
          <w:u w:val="single"/>
        </w:rPr>
        <w:t>RAQ</w:t>
      </w:r>
      <w:r w:rsidR="00525787">
        <w:rPr>
          <w:rFonts w:asciiTheme="majorHAnsi" w:hAnsiTheme="majorHAnsi"/>
          <w:sz w:val="22"/>
          <w:szCs w:val="22"/>
        </w:rPr>
        <w:t xml:space="preserve"> during the economic sanctions from 1990 to </w:t>
      </w:r>
      <w:r w:rsidR="00765144">
        <w:rPr>
          <w:rFonts w:asciiTheme="majorHAnsi" w:hAnsiTheme="majorHAnsi"/>
          <w:sz w:val="22"/>
          <w:szCs w:val="22"/>
        </w:rPr>
        <w:t>2003.</w:t>
      </w:r>
    </w:p>
    <w:p w14:paraId="3124175C" w14:textId="6BFC4C17" w:rsidR="00222969" w:rsidRPr="008B5183" w:rsidRDefault="00222969" w:rsidP="008B5183">
      <w:pPr>
        <w:pStyle w:val="ListParagraph"/>
        <w:numPr>
          <w:ilvl w:val="0"/>
          <w:numId w:val="1"/>
        </w:numPr>
        <w:spacing w:after="120"/>
        <w:ind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Facilitated Australia’s being the major supplier of food items to the MENA region that include</w:t>
      </w:r>
      <w:r w:rsidR="0036716A">
        <w:rPr>
          <w:rFonts w:asciiTheme="majorHAnsi" w:hAnsiTheme="majorHAnsi"/>
          <w:sz w:val="22"/>
          <w:szCs w:val="22"/>
        </w:rPr>
        <w:t xml:space="preserve"> Health, </w:t>
      </w:r>
      <w:r>
        <w:rPr>
          <w:rFonts w:asciiTheme="majorHAnsi" w:hAnsiTheme="majorHAnsi"/>
          <w:sz w:val="22"/>
          <w:szCs w:val="22"/>
        </w:rPr>
        <w:t xml:space="preserve">Dairy products, livestock, rice, and </w:t>
      </w:r>
      <w:r w:rsidR="00765144">
        <w:rPr>
          <w:rFonts w:asciiTheme="majorHAnsi" w:hAnsiTheme="majorHAnsi"/>
          <w:sz w:val="22"/>
          <w:szCs w:val="22"/>
        </w:rPr>
        <w:t>wheat.</w:t>
      </w:r>
    </w:p>
    <w:p w14:paraId="3BDCE050" w14:textId="23A42A8E" w:rsidR="00C445CF" w:rsidRPr="009E70F4" w:rsidRDefault="00525787" w:rsidP="009E70F4">
      <w:pPr>
        <w:pStyle w:val="ListParagraph"/>
        <w:numPr>
          <w:ilvl w:val="0"/>
          <w:numId w:val="1"/>
        </w:numPr>
        <w:spacing w:after="120"/>
        <w:ind w:hanging="357"/>
        <w:jc w:val="both"/>
      </w:pPr>
      <w:r>
        <w:rPr>
          <w:rFonts w:asciiTheme="majorHAnsi" w:hAnsiTheme="majorHAnsi"/>
          <w:sz w:val="22"/>
          <w:szCs w:val="22"/>
        </w:rPr>
        <w:t xml:space="preserve">Founder and </w:t>
      </w:r>
      <w:r w:rsidR="00B831A9">
        <w:rPr>
          <w:rFonts w:asciiTheme="majorHAnsi" w:hAnsiTheme="majorHAnsi"/>
          <w:sz w:val="22"/>
          <w:szCs w:val="22"/>
        </w:rPr>
        <w:t xml:space="preserve">former </w:t>
      </w:r>
      <w:r>
        <w:rPr>
          <w:rFonts w:asciiTheme="majorHAnsi" w:hAnsiTheme="majorHAnsi"/>
          <w:sz w:val="22"/>
          <w:szCs w:val="22"/>
        </w:rPr>
        <w:t>Board member</w:t>
      </w:r>
      <w:r w:rsidR="00A24D7D">
        <w:rPr>
          <w:rFonts w:asciiTheme="majorHAnsi" w:hAnsiTheme="majorHAnsi"/>
          <w:sz w:val="22"/>
          <w:szCs w:val="22"/>
        </w:rPr>
        <w:t xml:space="preserve"> of Tuhama Financial</w:t>
      </w:r>
      <w:r>
        <w:rPr>
          <w:rFonts w:asciiTheme="majorHAnsi" w:hAnsiTheme="majorHAnsi"/>
          <w:sz w:val="22"/>
          <w:szCs w:val="22"/>
        </w:rPr>
        <w:t xml:space="preserve"> </w:t>
      </w:r>
      <w:r w:rsidR="00A24D7D">
        <w:rPr>
          <w:rFonts w:asciiTheme="majorHAnsi" w:hAnsiTheme="majorHAnsi"/>
          <w:sz w:val="22"/>
          <w:szCs w:val="22"/>
        </w:rPr>
        <w:t>Investment</w:t>
      </w:r>
      <w:r>
        <w:rPr>
          <w:rFonts w:asciiTheme="majorHAnsi" w:hAnsiTheme="majorHAnsi"/>
          <w:sz w:val="22"/>
          <w:szCs w:val="22"/>
        </w:rPr>
        <w:t xml:space="preserve"> a PLC in Amman </w:t>
      </w:r>
      <w:r w:rsidR="00A24D7D">
        <w:rPr>
          <w:rFonts w:asciiTheme="majorHAnsi" w:hAnsiTheme="majorHAnsi"/>
          <w:sz w:val="22"/>
          <w:szCs w:val="22"/>
        </w:rPr>
        <w:t>Stock</w:t>
      </w:r>
      <w:r>
        <w:rPr>
          <w:rFonts w:asciiTheme="majorHAnsi" w:hAnsiTheme="majorHAnsi"/>
          <w:sz w:val="22"/>
          <w:szCs w:val="22"/>
        </w:rPr>
        <w:t xml:space="preserve"> </w:t>
      </w:r>
      <w:r w:rsidR="00A24D7D">
        <w:rPr>
          <w:rFonts w:asciiTheme="majorHAnsi" w:hAnsiTheme="majorHAnsi"/>
          <w:sz w:val="22"/>
          <w:szCs w:val="22"/>
        </w:rPr>
        <w:t xml:space="preserve">Exchange. </w:t>
      </w:r>
    </w:p>
    <w:p w14:paraId="648C7939" w14:textId="19A20A67" w:rsidR="002D1D8A" w:rsidRDefault="00765144" w:rsidP="00406B83">
      <w:pPr>
        <w:pStyle w:val="ListParagraph"/>
        <w:numPr>
          <w:ilvl w:val="0"/>
          <w:numId w:val="1"/>
        </w:numPr>
        <w:spacing w:after="120"/>
        <w:ind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Regional Director Gippsland Australia</w:t>
      </w:r>
    </w:p>
    <w:p w14:paraId="5924A032" w14:textId="4AF9BF67" w:rsidR="00920F40" w:rsidRDefault="002D1D8A" w:rsidP="00406B83">
      <w:pPr>
        <w:pStyle w:val="ListParagraph"/>
        <w:numPr>
          <w:ilvl w:val="0"/>
          <w:numId w:val="1"/>
        </w:numPr>
        <w:spacing w:after="120"/>
        <w:ind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Executive Board Member at Tantalum International, Perth Australia</w:t>
      </w:r>
      <w:r w:rsidR="00A24D7D">
        <w:rPr>
          <w:rFonts w:asciiTheme="majorHAnsi" w:hAnsiTheme="majorHAnsi"/>
          <w:sz w:val="22"/>
          <w:szCs w:val="22"/>
        </w:rPr>
        <w:t xml:space="preserve"> </w:t>
      </w:r>
    </w:p>
    <w:p w14:paraId="697A3C18" w14:textId="13E81EFE" w:rsidR="002D1D8A" w:rsidRDefault="002D1D8A" w:rsidP="00406B83">
      <w:pPr>
        <w:pStyle w:val="ListParagraph"/>
        <w:numPr>
          <w:ilvl w:val="0"/>
          <w:numId w:val="1"/>
        </w:numPr>
        <w:spacing w:after="120"/>
        <w:ind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Executive Board Member at Oryx Asset Management, London, UK</w:t>
      </w:r>
    </w:p>
    <w:p w14:paraId="6A30B70B" w14:textId="49000365" w:rsidR="002D1D8A" w:rsidRDefault="002D1D8A" w:rsidP="00406B83">
      <w:pPr>
        <w:pStyle w:val="ListParagraph"/>
        <w:numPr>
          <w:ilvl w:val="0"/>
          <w:numId w:val="1"/>
        </w:numPr>
        <w:spacing w:after="120"/>
        <w:ind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Special Advisor to </w:t>
      </w:r>
      <w:r w:rsidR="00765144">
        <w:rPr>
          <w:rFonts w:asciiTheme="majorHAnsi" w:hAnsiTheme="majorHAnsi"/>
          <w:sz w:val="22"/>
          <w:szCs w:val="22"/>
        </w:rPr>
        <w:t>‘AMIRA</w:t>
      </w:r>
      <w:r>
        <w:rPr>
          <w:rFonts w:asciiTheme="majorHAnsi" w:hAnsiTheme="majorHAnsi"/>
          <w:sz w:val="22"/>
          <w:szCs w:val="22"/>
        </w:rPr>
        <w:t xml:space="preserve"> Industries” St Petersburg, Russia</w:t>
      </w:r>
    </w:p>
    <w:p w14:paraId="523365F8" w14:textId="0CC10D2B" w:rsidR="002D1D8A" w:rsidRPr="0036716A" w:rsidRDefault="002D1D8A" w:rsidP="00406B83">
      <w:pPr>
        <w:pStyle w:val="ListParagraph"/>
        <w:numPr>
          <w:ilvl w:val="0"/>
          <w:numId w:val="1"/>
        </w:numPr>
        <w:spacing w:after="120"/>
        <w:ind w:hanging="357"/>
        <w:jc w:val="both"/>
        <w:rPr>
          <w:rFonts w:asciiTheme="majorHAnsi" w:hAnsiTheme="majorHAnsi"/>
          <w:sz w:val="22"/>
          <w:szCs w:val="22"/>
        </w:rPr>
      </w:pPr>
      <w:r w:rsidRPr="0036716A">
        <w:rPr>
          <w:rFonts w:asciiTheme="majorHAnsi" w:hAnsiTheme="majorHAnsi"/>
          <w:sz w:val="22"/>
          <w:szCs w:val="22"/>
        </w:rPr>
        <w:t xml:space="preserve">CEO of IBC </w:t>
      </w:r>
      <w:r w:rsidR="00970D1F" w:rsidRPr="0036716A">
        <w:rPr>
          <w:rFonts w:asciiTheme="majorHAnsi" w:hAnsiTheme="majorHAnsi"/>
          <w:sz w:val="22"/>
          <w:szCs w:val="22"/>
          <w:lang w:val="en-US"/>
        </w:rPr>
        <w:t>Consultancy Services</w:t>
      </w:r>
      <w:r w:rsidRPr="0036716A">
        <w:rPr>
          <w:rFonts w:asciiTheme="majorHAnsi" w:hAnsiTheme="majorHAnsi"/>
          <w:sz w:val="22"/>
          <w:szCs w:val="22"/>
        </w:rPr>
        <w:t xml:space="preserve"> </w:t>
      </w:r>
    </w:p>
    <w:p w14:paraId="6ED90109" w14:textId="5BEF35C1" w:rsidR="00040AE0" w:rsidRDefault="00765144" w:rsidP="00406B83">
      <w:pPr>
        <w:pStyle w:val="ListParagraph"/>
        <w:numPr>
          <w:ilvl w:val="0"/>
          <w:numId w:val="1"/>
        </w:numPr>
        <w:spacing w:after="120"/>
        <w:ind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Executive B</w:t>
      </w:r>
      <w:r w:rsidR="00040AE0">
        <w:rPr>
          <w:rFonts w:asciiTheme="majorHAnsi" w:hAnsiTheme="majorHAnsi"/>
          <w:sz w:val="22"/>
          <w:szCs w:val="22"/>
        </w:rPr>
        <w:t>oard Member and Tantalum Egypt</w:t>
      </w:r>
      <w:r w:rsidR="00B1626D">
        <w:rPr>
          <w:rFonts w:asciiTheme="majorHAnsi" w:hAnsiTheme="majorHAnsi"/>
          <w:sz w:val="22"/>
          <w:szCs w:val="22"/>
        </w:rPr>
        <w:t xml:space="preserve"> a JV between Gippsland and Ministry of Petroleum</w:t>
      </w:r>
      <w:r w:rsidR="00040AE0">
        <w:rPr>
          <w:rFonts w:asciiTheme="majorHAnsi" w:hAnsiTheme="majorHAnsi"/>
          <w:sz w:val="22"/>
          <w:szCs w:val="22"/>
        </w:rPr>
        <w:t>, Mining Industry</w:t>
      </w:r>
    </w:p>
    <w:p w14:paraId="2C9D6BBB" w14:textId="02EE19B0" w:rsidR="00040AE0" w:rsidRDefault="00040AE0" w:rsidP="00406B83">
      <w:pPr>
        <w:pStyle w:val="ListParagraph"/>
        <w:numPr>
          <w:ilvl w:val="0"/>
          <w:numId w:val="1"/>
        </w:numPr>
        <w:spacing w:after="120"/>
        <w:ind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Executive Board at Nubian Resources, Egypt</w:t>
      </w:r>
    </w:p>
    <w:p w14:paraId="270162A9" w14:textId="035C2FFC" w:rsidR="00040AE0" w:rsidRPr="00EE3278" w:rsidRDefault="00040AE0" w:rsidP="00406B83">
      <w:pPr>
        <w:pStyle w:val="ListParagraph"/>
        <w:numPr>
          <w:ilvl w:val="0"/>
          <w:numId w:val="1"/>
        </w:numPr>
        <w:spacing w:after="120"/>
        <w:ind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Executive Board Member, Adobha Resources, Eritrea</w:t>
      </w:r>
    </w:p>
    <w:p w14:paraId="6E11C3E9" w14:textId="5180606E" w:rsidR="00702688" w:rsidRDefault="00596C38" w:rsidP="00406B83">
      <w:pPr>
        <w:spacing w:after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Ayman</w:t>
      </w:r>
      <w:r w:rsidR="00702688">
        <w:rPr>
          <w:rFonts w:asciiTheme="majorHAnsi" w:hAnsiTheme="majorHAnsi"/>
          <w:sz w:val="22"/>
          <w:szCs w:val="22"/>
        </w:rPr>
        <w:t xml:space="preserve"> is able to communicate and transact very effectively across multiple cultures as a </w:t>
      </w:r>
      <w:r w:rsidR="00920F40">
        <w:rPr>
          <w:rFonts w:asciiTheme="majorHAnsi" w:hAnsiTheme="majorHAnsi"/>
          <w:sz w:val="22"/>
          <w:szCs w:val="22"/>
        </w:rPr>
        <w:t>dual national</w:t>
      </w:r>
      <w:r w:rsidR="00BC630D">
        <w:rPr>
          <w:rFonts w:asciiTheme="majorHAnsi" w:hAnsiTheme="majorHAnsi"/>
          <w:sz w:val="22"/>
          <w:szCs w:val="22"/>
        </w:rPr>
        <w:t>, Australian and Jordanian,</w:t>
      </w:r>
      <w:r w:rsidR="00920F40">
        <w:rPr>
          <w:rFonts w:asciiTheme="majorHAnsi" w:hAnsiTheme="majorHAnsi"/>
          <w:sz w:val="22"/>
          <w:szCs w:val="22"/>
        </w:rPr>
        <w:t xml:space="preserve"> with </w:t>
      </w:r>
      <w:r w:rsidR="00702688">
        <w:rPr>
          <w:rFonts w:asciiTheme="majorHAnsi" w:hAnsiTheme="majorHAnsi"/>
          <w:sz w:val="22"/>
          <w:szCs w:val="22"/>
        </w:rPr>
        <w:t>a w</w:t>
      </w:r>
      <w:r w:rsidR="00920F40">
        <w:rPr>
          <w:rFonts w:asciiTheme="majorHAnsi" w:hAnsiTheme="majorHAnsi"/>
          <w:sz w:val="22"/>
          <w:szCs w:val="22"/>
        </w:rPr>
        <w:t xml:space="preserve">estern education and </w:t>
      </w:r>
      <w:r w:rsidR="00702688">
        <w:rPr>
          <w:rFonts w:asciiTheme="majorHAnsi" w:hAnsiTheme="majorHAnsi"/>
          <w:sz w:val="22"/>
          <w:szCs w:val="22"/>
        </w:rPr>
        <w:t xml:space="preserve">strong </w:t>
      </w:r>
      <w:r w:rsidR="00920F40">
        <w:rPr>
          <w:rFonts w:asciiTheme="majorHAnsi" w:hAnsiTheme="majorHAnsi"/>
          <w:sz w:val="22"/>
          <w:szCs w:val="22"/>
        </w:rPr>
        <w:t xml:space="preserve">local knowledge </w:t>
      </w:r>
      <w:r w:rsidR="00702688">
        <w:rPr>
          <w:rFonts w:asciiTheme="majorHAnsi" w:hAnsiTheme="majorHAnsi"/>
          <w:sz w:val="22"/>
          <w:szCs w:val="22"/>
        </w:rPr>
        <w:t xml:space="preserve">of the MENA region.  </w:t>
      </w:r>
      <w:r w:rsidR="00702688">
        <w:rPr>
          <w:rFonts w:asciiTheme="majorHAnsi" w:hAnsiTheme="majorHAnsi"/>
          <w:sz w:val="22"/>
          <w:szCs w:val="22"/>
        </w:rPr>
        <w:lastRenderedPageBreak/>
        <w:t>His business acumen and deep long-standing regional relationships are clear with an impressive record of creating and developing business in the MENA region.</w:t>
      </w:r>
      <w:r w:rsidR="00702688" w:rsidDel="00702688">
        <w:rPr>
          <w:rFonts w:asciiTheme="majorHAnsi" w:hAnsiTheme="majorHAnsi"/>
          <w:sz w:val="22"/>
          <w:szCs w:val="22"/>
        </w:rPr>
        <w:t xml:space="preserve"> </w:t>
      </w:r>
    </w:p>
    <w:p w14:paraId="1E90AFB4" w14:textId="77777777" w:rsidR="00702688" w:rsidRPr="00A90C2F" w:rsidRDefault="00702688" w:rsidP="00A90C2F">
      <w:pPr>
        <w:spacing w:after="240"/>
        <w:rPr>
          <w:rFonts w:asciiTheme="majorHAnsi" w:hAnsiTheme="majorHAnsi"/>
          <w:sz w:val="22"/>
          <w:szCs w:val="22"/>
        </w:rPr>
      </w:pPr>
    </w:p>
    <w:sectPr w:rsidR="00702688" w:rsidRPr="00A90C2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B56C" w14:textId="77777777" w:rsidR="00D238E1" w:rsidRDefault="00D238E1" w:rsidP="0053211A">
      <w:r>
        <w:separator/>
      </w:r>
    </w:p>
  </w:endnote>
  <w:endnote w:type="continuationSeparator" w:id="0">
    <w:p w14:paraId="45911E47" w14:textId="77777777" w:rsidR="00D238E1" w:rsidRDefault="00D238E1" w:rsidP="0053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971119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18"/>
        <w:szCs w:val="18"/>
      </w:rPr>
    </w:sdtEndPr>
    <w:sdtContent>
      <w:p w14:paraId="6ADC9686" w14:textId="77777777" w:rsidR="00E37DAF" w:rsidRPr="00223BDD" w:rsidRDefault="00E37DAF">
        <w:pPr>
          <w:pStyle w:val="Footer"/>
          <w:jc w:val="center"/>
          <w:rPr>
            <w:rFonts w:ascii="Calibri" w:hAnsi="Calibri"/>
            <w:sz w:val="18"/>
            <w:szCs w:val="18"/>
          </w:rPr>
        </w:pPr>
        <w:r w:rsidRPr="00223BDD">
          <w:rPr>
            <w:rFonts w:ascii="Calibri" w:hAnsi="Calibri"/>
            <w:sz w:val="18"/>
            <w:szCs w:val="18"/>
          </w:rPr>
          <w:fldChar w:fldCharType="begin"/>
        </w:r>
        <w:r w:rsidRPr="00223BDD">
          <w:rPr>
            <w:rFonts w:ascii="Calibri" w:hAnsi="Calibri"/>
            <w:sz w:val="18"/>
            <w:szCs w:val="18"/>
          </w:rPr>
          <w:instrText xml:space="preserve"> PAGE   \* MERGEFORMAT </w:instrText>
        </w:r>
        <w:r w:rsidRPr="00223BDD">
          <w:rPr>
            <w:rFonts w:ascii="Calibri" w:hAnsi="Calibri"/>
            <w:sz w:val="18"/>
            <w:szCs w:val="18"/>
          </w:rPr>
          <w:fldChar w:fldCharType="separate"/>
        </w:r>
        <w:r w:rsidR="00C445CF">
          <w:rPr>
            <w:rFonts w:ascii="Calibri" w:hAnsi="Calibri"/>
            <w:noProof/>
            <w:sz w:val="18"/>
            <w:szCs w:val="18"/>
          </w:rPr>
          <w:t>1</w:t>
        </w:r>
        <w:r w:rsidRPr="00223BDD">
          <w:rPr>
            <w:rFonts w:ascii="Calibri" w:hAnsi="Calibri"/>
            <w:noProof/>
            <w:sz w:val="18"/>
            <w:szCs w:val="18"/>
          </w:rPr>
          <w:fldChar w:fldCharType="end"/>
        </w:r>
      </w:p>
    </w:sdtContent>
  </w:sdt>
  <w:p w14:paraId="2B8795BB" w14:textId="77777777" w:rsidR="00E37DAF" w:rsidRPr="00F649CE" w:rsidRDefault="00E37DAF" w:rsidP="00804346">
    <w:pPr>
      <w:pStyle w:val="Footer"/>
      <w:ind w:right="1212"/>
      <w:jc w:val="right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3704" w14:textId="77777777" w:rsidR="00D238E1" w:rsidRDefault="00D238E1" w:rsidP="0053211A">
      <w:r>
        <w:separator/>
      </w:r>
    </w:p>
  </w:footnote>
  <w:footnote w:type="continuationSeparator" w:id="0">
    <w:p w14:paraId="1171B41C" w14:textId="77777777" w:rsidR="00D238E1" w:rsidRDefault="00D238E1" w:rsidP="0053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2A13" w14:textId="77777777" w:rsidR="00E37DAF" w:rsidRDefault="00E37DAF" w:rsidP="00804346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93091"/>
    <w:multiLevelType w:val="hybridMultilevel"/>
    <w:tmpl w:val="88908CA6"/>
    <w:lvl w:ilvl="0" w:tplc="0C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520AA374">
      <w:numFmt w:val="bullet"/>
      <w:lvlText w:val="-"/>
      <w:lvlJc w:val="left"/>
      <w:pPr>
        <w:ind w:left="1077" w:hanging="360"/>
      </w:pPr>
      <w:rPr>
        <w:rFonts w:ascii="Calibri Light" w:eastAsiaTheme="minorEastAsia" w:hAnsi="Calibri Light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 w16cid:durableId="79667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1A"/>
    <w:rsid w:val="00005332"/>
    <w:rsid w:val="000108B0"/>
    <w:rsid w:val="00020DB3"/>
    <w:rsid w:val="0004036C"/>
    <w:rsid w:val="00040AE0"/>
    <w:rsid w:val="000C6FDD"/>
    <w:rsid w:val="00171049"/>
    <w:rsid w:val="00171F7C"/>
    <w:rsid w:val="00177267"/>
    <w:rsid w:val="001B5CE1"/>
    <w:rsid w:val="00222969"/>
    <w:rsid w:val="002D1D8A"/>
    <w:rsid w:val="002F2E58"/>
    <w:rsid w:val="00300DE3"/>
    <w:rsid w:val="0033474C"/>
    <w:rsid w:val="00342A72"/>
    <w:rsid w:val="00350ED5"/>
    <w:rsid w:val="0036716A"/>
    <w:rsid w:val="00406B83"/>
    <w:rsid w:val="00411556"/>
    <w:rsid w:val="00427DAF"/>
    <w:rsid w:val="004F34CB"/>
    <w:rsid w:val="00525787"/>
    <w:rsid w:val="0053211A"/>
    <w:rsid w:val="005958C8"/>
    <w:rsid w:val="00596C38"/>
    <w:rsid w:val="00691131"/>
    <w:rsid w:val="006D5FE2"/>
    <w:rsid w:val="00702688"/>
    <w:rsid w:val="00705236"/>
    <w:rsid w:val="00737B0B"/>
    <w:rsid w:val="00765144"/>
    <w:rsid w:val="00804346"/>
    <w:rsid w:val="00837263"/>
    <w:rsid w:val="008B5183"/>
    <w:rsid w:val="008C1844"/>
    <w:rsid w:val="008D2B26"/>
    <w:rsid w:val="008D68BF"/>
    <w:rsid w:val="009148FC"/>
    <w:rsid w:val="00920F40"/>
    <w:rsid w:val="009244EF"/>
    <w:rsid w:val="00924DBF"/>
    <w:rsid w:val="00970D1F"/>
    <w:rsid w:val="009E70F4"/>
    <w:rsid w:val="00A05A2B"/>
    <w:rsid w:val="00A24D7D"/>
    <w:rsid w:val="00A90C2F"/>
    <w:rsid w:val="00AE7110"/>
    <w:rsid w:val="00B01F6E"/>
    <w:rsid w:val="00B1626D"/>
    <w:rsid w:val="00B44330"/>
    <w:rsid w:val="00B831A9"/>
    <w:rsid w:val="00BC5EB5"/>
    <w:rsid w:val="00BC630D"/>
    <w:rsid w:val="00C03B1B"/>
    <w:rsid w:val="00C25D18"/>
    <w:rsid w:val="00C445CF"/>
    <w:rsid w:val="00C62B8D"/>
    <w:rsid w:val="00CC434D"/>
    <w:rsid w:val="00D238E1"/>
    <w:rsid w:val="00D45C5A"/>
    <w:rsid w:val="00D57CA8"/>
    <w:rsid w:val="00E37DAF"/>
    <w:rsid w:val="00E50F5B"/>
    <w:rsid w:val="00E67EA7"/>
    <w:rsid w:val="00E7428D"/>
    <w:rsid w:val="00EE3278"/>
    <w:rsid w:val="00F94603"/>
    <w:rsid w:val="00FA069B"/>
    <w:rsid w:val="00F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886F82"/>
  <w15:docId w15:val="{6F618302-8044-1E45-B3EC-9564EF7D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1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1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11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1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11A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B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8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8C8"/>
    <w:rPr>
      <w:rFonts w:ascii="Lucida Grande" w:eastAsiaTheme="minorEastAsia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296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11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1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131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1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131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70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Rosenstreich</dc:creator>
  <cp:keywords/>
  <dc:description/>
  <cp:lastModifiedBy>ayman ayyash</cp:lastModifiedBy>
  <cp:revision>4</cp:revision>
  <dcterms:created xsi:type="dcterms:W3CDTF">2024-04-25T07:47:00Z</dcterms:created>
  <dcterms:modified xsi:type="dcterms:W3CDTF">2024-04-25T07:52:00Z</dcterms:modified>
</cp:coreProperties>
</file>